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Приложение </w:t>
      </w:r>
      <w:r>
        <w:rPr>
          <w:rFonts w:ascii="Calibri" w:cs="Calibri" w:eastAsia="Calibri" w:hAnsi="Calibri"/>
          <w:sz w:val="22"/>
          <w:szCs w:val="22"/>
          <w:color w:val="auto"/>
        </w:rPr>
        <w:t>N 1</w:t>
      </w: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 приказу Минэкономразвития России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ind w:right="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от </w:t>
      </w:r>
      <w:r>
        <w:rPr>
          <w:rFonts w:ascii="Calibri" w:cs="Calibri" w:eastAsia="Calibri" w:hAnsi="Calibri"/>
          <w:sz w:val="22"/>
          <w:szCs w:val="22"/>
          <w:color w:val="auto"/>
        </w:rPr>
        <w:t>04.08.2020 N 497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95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Форма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ЗАЯВЛЕНИЕ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 признании гражданина банкротом во внесудебном порядке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372110</wp:posOffset>
                </wp:positionV>
                <wp:extent cx="667829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9.3pt" to="526.05pt,29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368935</wp:posOffset>
                </wp:positionV>
                <wp:extent cx="0" cy="3130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8pt,29.05pt" to="525.8pt,53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368935</wp:posOffset>
                </wp:positionV>
                <wp:extent cx="0" cy="72955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9.05pt" to="0.45pt,603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Информация о гражданине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фамилия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обязательно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имя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обязательно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отчество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при наличии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прежняя фамилия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обязательно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в случае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изменения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)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прежнее имя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обязательно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в случае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изменения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)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прежнее отчество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 xml:space="preserve">обязательно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в случае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изменения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)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дата рождения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обязательно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место рождения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обязательно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СНИЛС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обязательно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ИНН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при наличии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номер телефона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при наличии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адрес электронной почты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при наличии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документ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удостоверяющий личность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вид документа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обязательно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серия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и номер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обязательно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-928370</wp:posOffset>
                </wp:positionV>
                <wp:extent cx="1206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4.6pt;margin-top:-73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-928370</wp:posOffset>
                </wp:positionV>
                <wp:extent cx="12700" cy="12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25.05pt;margin-top:-73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24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25.0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-5715</wp:posOffset>
                </wp:positionV>
                <wp:extent cx="0" cy="4762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8pt,-0.4499pt" to="525.8pt,37.05pt" o:allowincell="f" strokecolor="#000000" strokeweight="0.48pt"/>
            </w:pict>
          </mc:Fallback>
        </mc:AlternateConten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адрес регистрации по месту жительства в Российской Федерации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при наличии регистрации по месту жительства в пределах Российской Федерации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субъект Российской Федерации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район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город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населенный пункт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село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поселок и так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далее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24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520"/>
          </w:cols>
          <w:pgMar w:left="840" w:top="1127" w:right="546" w:bottom="825" w:gutter="0" w:footer="0" w:header="0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улица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проспект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переулок и так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далее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номер дома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номер корпуса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строения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номер квартиры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иного жилого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помещения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90265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6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6pt" to="42.45pt,767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-5715</wp:posOffset>
                </wp:positionV>
                <wp:extent cx="0" cy="65341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3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8pt,-0.4499pt" to="525.8pt,51pt" o:allowincell="f" strokecolor="#000000" strokeweight="0.48pt"/>
            </w:pict>
          </mc:Fallback>
        </mc:AlternateConten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адрес регистрации по месту пребывания в Российской Федерации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80" w:right="80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при обращении с заявлением о признании гражданина банкротом во внесудебном порядке по месту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пребывания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</w:p>
    <w:p>
      <w:pPr>
        <w:spacing w:after="0" w:line="8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316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субъект Российской Федерации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район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город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населенный пункт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село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поселок и так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далее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улица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проспект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переулок и так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далее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номер дома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владения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номер корпуса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строения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номер квартиры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иного жилого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1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помещения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Информация о представителе гражданина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3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если заявление подается представителем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фамилия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имя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отчество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дата рождения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место рождения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документ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удостоверяющий личность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вид документа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серия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и номер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-927735</wp:posOffset>
                </wp:positionV>
                <wp:extent cx="12065" cy="120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24.6pt;margin-top:-73.0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-927735</wp:posOffset>
                </wp:positionV>
                <wp:extent cx="12700" cy="120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25.05pt;margin-top:-73.0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24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25.0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-5715</wp:posOffset>
                </wp:positionV>
                <wp:extent cx="0" cy="3054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8pt,-0.4499pt" to="525.8pt,23.6pt" o:allowincell="f" strokecolor="#000000" strokeweight="0.48pt"/>
            </w:pict>
          </mc:Fallback>
        </mc:AlternateConten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документ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подтверждающий полномочия представителя заявителя</w:t>
      </w:r>
    </w:p>
    <w:p>
      <w:pPr>
        <w:spacing w:after="0" w:line="8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вид документа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6"/>
        </w:trPr>
        <w:tc>
          <w:tcPr>
            <w:tcW w:w="3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дата выдачи документа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7"/>
        </w:trPr>
        <w:tc>
          <w:tcPr>
            <w:tcW w:w="3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520"/>
          </w:cols>
          <w:pgMar w:left="840" w:top="1132" w:right="546" w:bottom="926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30797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7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6pt" to="42.45pt,80.85pt" o:allowincell="f" strokecolor="#000000" strokeweight="0.4799pt">
                <w10:wrap anchorx="page" anchory="page"/>
              </v:line>
            </w:pict>
          </mc:Fallback>
        </mc:AlternateContent>
        <w:t>серия и номер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666813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19.5pt" to="521.3pt,19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555625</wp:posOffset>
                </wp:positionV>
                <wp:extent cx="666813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43.75pt" to="521.3pt,43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1672590</wp:posOffset>
                </wp:positionV>
                <wp:extent cx="666813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131.7pt" to="521.3pt,131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2771775</wp:posOffset>
                </wp:positionV>
                <wp:extent cx="666813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218.25pt" to="521.3pt,218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5088255</wp:posOffset>
                </wp:positionV>
                <wp:extent cx="666813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499pt,400.65pt" to="521.3pt,400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244475</wp:posOffset>
                </wp:positionV>
                <wp:extent cx="0" cy="86944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9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9.25pt" to="-3.4999pt,703.8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при наличии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-232410</wp:posOffset>
                </wp:positionV>
                <wp:extent cx="0" cy="30734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.4999pt,-18.2999pt" to="-31.4999pt,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-232410</wp:posOffset>
                </wp:positionV>
                <wp:extent cx="0" cy="30734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5pt,-18.2999pt" to="90.5pt,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-2816225</wp:posOffset>
                </wp:positionH>
                <wp:positionV relativeFrom="paragraph">
                  <wp:posOffset>71755</wp:posOffset>
                </wp:positionV>
                <wp:extent cx="666813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1.7499pt,5.65pt" to="303.3pt,5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-232410</wp:posOffset>
                </wp:positionV>
                <wp:extent cx="0" cy="30734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05pt,-18.2999pt" to="303.05pt,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244475</wp:posOffset>
                </wp:positionV>
                <wp:extent cx="0" cy="869442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9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05pt,19.25pt" to="303.05pt,703.8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640" w:space="720"/>
            <w:col w:w="6000"/>
          </w:cols>
          <w:pgMar w:left="920" w:top="1242" w:right="626" w:bottom="807" w:gutter="0" w:footer="0" w:header="0"/>
        </w:sect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Настоящим заявлением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Прошу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both"/>
        <w:ind w:firstLine="559"/>
        <w:spacing w:after="0" w:line="229" w:lineRule="auto"/>
        <w:tabs>
          <w:tab w:leader="none" w:pos="787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соответствии с </w:t>
      </w:r>
      <w:hyperlink r:id="rId8">
        <w:r>
          <w:rPr>
            <w:rFonts w:ascii="Calibri" w:cs="Calibri" w:eastAsia="Calibri" w:hAnsi="Calibri"/>
            <w:sz w:val="22"/>
            <w:szCs w:val="22"/>
            <w:color w:val="0000FF"/>
          </w:rPr>
          <w:t>пунктом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1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статьи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223.2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 xml:space="preserve">Федерального закона от </w:t>
      </w:r>
      <w:r>
        <w:rPr>
          <w:rFonts w:ascii="Calibri" w:cs="Calibri" w:eastAsia="Calibri" w:hAnsi="Calibri"/>
          <w:sz w:val="22"/>
          <w:szCs w:val="22"/>
          <w:color w:val="auto"/>
        </w:rPr>
        <w:t>26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октября </w:t>
      </w:r>
      <w:r>
        <w:rPr>
          <w:rFonts w:ascii="Calibri" w:cs="Calibri" w:eastAsia="Calibri" w:hAnsi="Calibri"/>
          <w:sz w:val="22"/>
          <w:szCs w:val="22"/>
          <w:color w:val="auto"/>
        </w:rPr>
        <w:t>2002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</w:t>
      </w:r>
      <w:r>
        <w:rPr>
          <w:rFonts w:ascii="Calibri" w:cs="Calibri" w:eastAsia="Calibri" w:hAnsi="Calibri"/>
          <w:sz w:val="22"/>
          <w:szCs w:val="22"/>
          <w:color w:val="auto"/>
        </w:rPr>
        <w:t>. N 127-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ФЗ 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О несостоятельности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банкротстве</w:t>
      </w:r>
      <w:r>
        <w:rPr>
          <w:rFonts w:ascii="Calibri" w:cs="Calibri" w:eastAsia="Calibri" w:hAnsi="Calibri"/>
          <w:sz w:val="22"/>
          <w:szCs w:val="22"/>
          <w:color w:val="auto"/>
        </w:rPr>
        <w:t>)" (</w:t>
      </w:r>
      <w:r>
        <w:rPr>
          <w:rFonts w:ascii="Calibri" w:cs="Calibri" w:eastAsia="Calibri" w:hAnsi="Calibri"/>
          <w:sz w:val="22"/>
          <w:szCs w:val="22"/>
          <w:color w:val="auto"/>
        </w:rPr>
        <w:t>Собрание законодательства Российской Федерации</w:t>
      </w:r>
      <w:r>
        <w:rPr>
          <w:rFonts w:ascii="Calibri" w:cs="Calibri" w:eastAsia="Calibri" w:hAnsi="Calibri"/>
          <w:sz w:val="22"/>
          <w:szCs w:val="22"/>
          <w:color w:val="auto"/>
        </w:rPr>
        <w:t>, 2002, N 43,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ст</w:t>
      </w:r>
      <w:r>
        <w:rPr>
          <w:rFonts w:ascii="Calibri" w:cs="Calibri" w:eastAsia="Calibri" w:hAnsi="Calibri"/>
          <w:sz w:val="22"/>
          <w:szCs w:val="22"/>
          <w:color w:val="auto"/>
        </w:rPr>
        <w:t>. 4190;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Официальный интернет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портал правовой информации </w:t>
      </w:r>
      <w:r>
        <w:rPr>
          <w:rFonts w:ascii="Calibri" w:cs="Calibri" w:eastAsia="Calibri" w:hAnsi="Calibri"/>
          <w:sz w:val="22"/>
          <w:szCs w:val="22"/>
          <w:color w:val="auto"/>
        </w:rPr>
        <w:t>(www.pravo.gov.ru), 31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июля </w:t>
      </w:r>
      <w:r>
        <w:rPr>
          <w:rFonts w:ascii="Calibri" w:cs="Calibri" w:eastAsia="Calibri" w:hAnsi="Calibri"/>
          <w:sz w:val="22"/>
          <w:szCs w:val="22"/>
          <w:color w:val="auto"/>
        </w:rPr>
        <w:t>2020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</w:t>
      </w:r>
      <w:r>
        <w:rPr>
          <w:rFonts w:ascii="Calibri" w:cs="Calibri" w:eastAsia="Calibri" w:hAnsi="Calibri"/>
          <w:sz w:val="22"/>
          <w:szCs w:val="22"/>
          <w:color w:val="auto"/>
        </w:rPr>
        <w:t>., N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0001202007310066) (</w:t>
      </w:r>
      <w:r>
        <w:rPr>
          <w:rFonts w:ascii="Calibri" w:cs="Calibri" w:eastAsia="Calibri" w:hAnsi="Calibri"/>
          <w:sz w:val="22"/>
          <w:szCs w:val="22"/>
          <w:color w:val="auto"/>
        </w:rPr>
        <w:t>далее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- </w:t>
      </w:r>
      <w:r>
        <w:rPr>
          <w:rFonts w:ascii="Calibri" w:cs="Calibri" w:eastAsia="Calibri" w:hAnsi="Calibri"/>
          <w:sz w:val="22"/>
          <w:szCs w:val="22"/>
          <w:color w:val="auto"/>
        </w:rPr>
        <w:t>Закон о банкротстве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) </w:t>
      </w:r>
      <w:r>
        <w:rPr>
          <w:rFonts w:ascii="Calibri" w:cs="Calibri" w:eastAsia="Calibri" w:hAnsi="Calibri"/>
          <w:sz w:val="22"/>
          <w:szCs w:val="22"/>
          <w:color w:val="auto"/>
        </w:rPr>
        <w:t>признать меня банкротом во внесудебном порядке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Сообщаю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что я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не зарегистрирован и не был зарегистрирован в качестве индивидуального предпринимателя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-135255</wp:posOffset>
            </wp:positionV>
            <wp:extent cx="140335" cy="20256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зарегистрирован или был зарегистрирован в качестве индивидуального предпринимателя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-135255</wp:posOffset>
            </wp:positionV>
            <wp:extent cx="140335" cy="2025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340" w:right="1800" w:firstLine="567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Сообщаю следующие известные мне сведения о кредитных организациях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 которыми у меня заключен договор банковского счета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вклада</w:t>
      </w:r>
      <w:r>
        <w:rPr>
          <w:rFonts w:ascii="Calibri" w:cs="Calibri" w:eastAsia="Calibri" w:hAnsi="Calibri"/>
          <w:sz w:val="22"/>
          <w:szCs w:val="22"/>
          <w:color w:val="auto"/>
        </w:rPr>
        <w:t>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71120</wp:posOffset>
                </wp:positionV>
                <wp:extent cx="531558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5pt,5.6pt" to="431.8pt,5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377190</wp:posOffset>
                </wp:positionV>
                <wp:extent cx="531558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5pt,29.7pt" to="431.8pt,29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683260</wp:posOffset>
                </wp:positionV>
                <wp:extent cx="531558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5pt,53.8pt" to="431.8pt,53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989965</wp:posOffset>
                </wp:positionV>
                <wp:extent cx="531558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5pt,77.95pt" to="431.8pt,77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1296670</wp:posOffset>
                </wp:positionV>
                <wp:extent cx="531558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5pt,102.1pt" to="431.8pt,102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0" cy="15392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5pt,5.35pt" to="13.5pt,126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67945</wp:posOffset>
                </wp:positionV>
                <wp:extent cx="0" cy="15392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55pt,5.35pt" to="380.55pt,126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1604010</wp:posOffset>
                </wp:positionV>
                <wp:extent cx="531558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5pt,126.3pt" to="431.8pt,126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67945</wp:posOffset>
                </wp:positionV>
                <wp:extent cx="0" cy="15392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5pt,5.35pt" to="431.55pt,126.55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60"/>
          </w:cols>
          <w:pgMar w:left="920" w:top="1242" w:right="626" w:bottom="807" w:gutter="0" w:footer="0" w:header="0"/>
          <w:type w:val="continuous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left="6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Наименование кредитной организации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center"/>
        <w:ind w:right="2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БИК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2420"/>
          </w:cols>
          <w:pgMar w:left="920" w:top="1242" w:right="626" w:bottom="807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Подтверждаю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25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свое соответствие на дату подачи настоящего заявления условиям подачи заявления о признании гражданина банкротом во внесудебном порядке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предусмотренным </w:t>
      </w:r>
      <w:hyperlink r:id="rId8">
        <w:r>
          <w:rPr>
            <w:rFonts w:ascii="Calibri" w:cs="Calibri" w:eastAsia="Calibri" w:hAnsi="Calibri"/>
            <w:sz w:val="22"/>
            <w:szCs w:val="22"/>
            <w:color w:val="0000FF"/>
          </w:rPr>
          <w:t>абзацем первым пункта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1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статьи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223.2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 xml:space="preserve"> Закона о банкротстве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именно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both"/>
        <w:ind w:firstLine="559"/>
        <w:spacing w:after="0" w:line="228" w:lineRule="auto"/>
        <w:tabs>
          <w:tab w:leader="none" w:pos="795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общий размер моих денежных обязательств и обязанностей по уплате обязательных платежей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том числе обязательств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срок исполнения которых не наступил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обязательств по уплате алиментов и обязательств по договору поручительства независимо от просрочки основного должника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составляет не менее пятидесяти тысяч рублей и не более пятисот тысяч рублей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составе которых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а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учитываются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размер денежных обязательств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том числе размер задолженности за переданные товары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выполненные работы и оказанные услуги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суммы займа с учетом процентов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подлежащих уплате должником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размер задолженности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возникшей вследствие неосновательного обогащения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 размер задолженности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возникшей вследствие причинения вреда имуществу кредиторов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за исключением обязательств перед гражданами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перед которыми должник несет ответственность за причинение вреда жизни или здоровью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обязательств по выплате компенсации сверх возмещения вреда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обязательств по выплате вознаграждения авторам результатов интеллектуальной деятельности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также обязательств перед учредителями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участниками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) </w:t>
      </w:r>
      <w:r>
        <w:rPr>
          <w:rFonts w:ascii="Calibri" w:cs="Calibri" w:eastAsia="Calibri" w:hAnsi="Calibri"/>
          <w:sz w:val="22"/>
          <w:szCs w:val="22"/>
          <w:color w:val="auto"/>
        </w:rPr>
        <w:t>должника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вытекающих из такого участия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размер обязательных платежей без учета установленных законодательством Российской Федерации</w:t>
      </w:r>
    </w:p>
    <w:p>
      <w:pPr>
        <w:sectPr>
          <w:pgSz w:w="11900" w:h="16838" w:orient="portrait"/>
          <w:cols w:equalWidth="0" w:num="1">
            <w:col w:w="10360"/>
          </w:cols>
          <w:pgMar w:left="920" w:top="1242" w:right="626" w:bottom="807" w:gutter="0" w:footer="0" w:header="0"/>
          <w:type w:val="continuous"/>
        </w:sectPr>
      </w:pPr>
    </w:p>
    <w:bookmarkStart w:id="3" w:name="page4"/>
    <w:bookmarkEnd w:id="3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7175500</wp:posOffset>
                </wp:positionV>
                <wp:extent cx="666877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pt,565pt" to="567.3pt,5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897191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71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6pt" to="42.45pt,763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896620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66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762.6pt" o:allowincell="f" strokecolor="#000000" strokeweight="0.4799pt">
                <w10:wrap anchorx="page" anchory="page"/>
              </v:line>
            </w:pict>
          </mc:Fallback>
        </mc:AlternateContent>
        <w:t xml:space="preserve">штрафов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пеней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 иных финансовых санкций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б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не учитываются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both"/>
        <w:ind w:left="8" w:firstLine="567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подлежащие применению за неисполнение или ненадлежащее исполнение обязательства неустойки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штрафы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пени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), </w:t>
      </w:r>
      <w:r>
        <w:rPr>
          <w:rFonts w:ascii="Calibri" w:cs="Calibri" w:eastAsia="Calibri" w:hAnsi="Calibri"/>
          <w:sz w:val="22"/>
          <w:szCs w:val="22"/>
          <w:color w:val="auto"/>
        </w:rPr>
        <w:t>проценты за просрочку платежа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убытки в виде упущенной выгоды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, </w:t>
      </w:r>
      <w:r>
        <w:rPr>
          <w:rFonts w:ascii="Calibri" w:cs="Calibri" w:eastAsia="Calibri" w:hAnsi="Calibri"/>
          <w:sz w:val="22"/>
          <w:szCs w:val="22"/>
          <w:color w:val="auto"/>
        </w:rPr>
        <w:t>подлежащие возмещению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за неисполнение или ненадлежащее исполнение обязательства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также иные имущественные и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или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финансовые санкции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 том числе за неисполнение обязанности по уплате обязательных платежей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both"/>
        <w:ind w:left="8" w:firstLine="559"/>
        <w:spacing w:after="0" w:line="232" w:lineRule="auto"/>
        <w:tabs>
          <w:tab w:leader="none" w:pos="817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</w:r>
      <w:hyperlink r:id="rId11">
        <w:r>
          <w:rPr>
            <w:rFonts w:ascii="Calibri" w:cs="Calibri" w:eastAsia="Calibri" w:hAnsi="Calibri"/>
            <w:sz w:val="22"/>
            <w:szCs w:val="22"/>
            <w:color w:val="0000FF"/>
          </w:rPr>
          <w:t>пункта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4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части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1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статьи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46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 xml:space="preserve"> Федерального закона от </w:t>
      </w:r>
      <w:r>
        <w:rPr>
          <w:rFonts w:ascii="Calibri" w:cs="Calibri" w:eastAsia="Calibri" w:hAnsi="Calibri"/>
          <w:sz w:val="22"/>
          <w:szCs w:val="22"/>
          <w:color w:val="auto"/>
        </w:rPr>
        <w:t>2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октября </w:t>
      </w:r>
      <w:r>
        <w:rPr>
          <w:rFonts w:ascii="Calibri" w:cs="Calibri" w:eastAsia="Calibri" w:hAnsi="Calibri"/>
          <w:sz w:val="22"/>
          <w:szCs w:val="22"/>
          <w:color w:val="auto"/>
        </w:rPr>
        <w:t>2007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года </w:t>
      </w:r>
      <w:r>
        <w:rPr>
          <w:rFonts w:ascii="Calibri" w:cs="Calibri" w:eastAsia="Calibri" w:hAnsi="Calibri"/>
          <w:sz w:val="22"/>
          <w:szCs w:val="22"/>
          <w:color w:val="auto"/>
        </w:rPr>
        <w:t>N 229-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ФЗ </w:t>
      </w:r>
      <w:r>
        <w:rPr>
          <w:rFonts w:ascii="Calibri" w:cs="Calibri" w:eastAsia="Calibri" w:hAnsi="Calibri"/>
          <w:sz w:val="22"/>
          <w:szCs w:val="22"/>
          <w:color w:val="auto"/>
        </w:rPr>
        <w:t>"</w:t>
      </w:r>
      <w:r>
        <w:rPr>
          <w:rFonts w:ascii="Calibri" w:cs="Calibri" w:eastAsia="Calibri" w:hAnsi="Calibri"/>
          <w:sz w:val="22"/>
          <w:szCs w:val="22"/>
          <w:color w:val="auto"/>
        </w:rPr>
        <w:t>Об исполнительном производстве</w:t>
      </w:r>
      <w:r>
        <w:rPr>
          <w:rFonts w:ascii="Calibri" w:cs="Calibri" w:eastAsia="Calibri" w:hAnsi="Calibri"/>
          <w:sz w:val="22"/>
          <w:szCs w:val="22"/>
          <w:color w:val="auto"/>
        </w:rPr>
        <w:t>" (</w:t>
      </w:r>
      <w:r>
        <w:rPr>
          <w:rFonts w:ascii="Calibri" w:cs="Calibri" w:eastAsia="Calibri" w:hAnsi="Calibri"/>
          <w:sz w:val="22"/>
          <w:szCs w:val="22"/>
          <w:color w:val="auto"/>
        </w:rPr>
        <w:t>Собрание законодательства Российской Федерации</w:t>
      </w:r>
      <w:r>
        <w:rPr>
          <w:rFonts w:ascii="Calibri" w:cs="Calibri" w:eastAsia="Calibri" w:hAnsi="Calibri"/>
          <w:sz w:val="22"/>
          <w:szCs w:val="22"/>
          <w:color w:val="auto"/>
        </w:rPr>
        <w:t>, 2007, N 41,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ст</w:t>
      </w:r>
      <w:r>
        <w:rPr>
          <w:rFonts w:ascii="Calibri" w:cs="Calibri" w:eastAsia="Calibri" w:hAnsi="Calibri"/>
          <w:sz w:val="22"/>
          <w:szCs w:val="22"/>
          <w:color w:val="auto"/>
        </w:rPr>
        <w:t>. 4849) (</w:t>
      </w:r>
      <w:r>
        <w:rPr>
          <w:rFonts w:ascii="Calibri" w:cs="Calibri" w:eastAsia="Calibri" w:hAnsi="Calibri"/>
          <w:sz w:val="22"/>
          <w:szCs w:val="22"/>
          <w:color w:val="auto"/>
        </w:rPr>
        <w:t>независимо от объема и состава требований взыскателя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 не возбуждено иное исполнительное производство после возвращения исполнительного документа взыскателю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Я уведомлен о том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что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both"/>
        <w:ind w:left="8" w:firstLine="559"/>
        <w:spacing w:after="0" w:line="228" w:lineRule="auto"/>
        <w:tabs>
          <w:tab w:leader="none" w:pos="846" w:val="left"/>
        </w:tabs>
        <w:numPr>
          <w:ilvl w:val="1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осуществляющими государственную регистрацию или иной учет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регистрацию</w:t>
      </w:r>
      <w:r>
        <w:rPr>
          <w:rFonts w:ascii="Calibri" w:cs="Calibri" w:eastAsia="Calibri" w:hAnsi="Calibri"/>
          <w:sz w:val="22"/>
          <w:szCs w:val="22"/>
          <w:color w:val="auto"/>
        </w:rPr>
        <w:t>),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имеющихся у них сведений кредиторам в соответствии с </w:t>
      </w:r>
      <w:hyperlink r:id="rId12">
        <w:r>
          <w:rPr>
            <w:rFonts w:ascii="Calibri" w:cs="Calibri" w:eastAsia="Calibri" w:hAnsi="Calibri"/>
            <w:sz w:val="22"/>
            <w:szCs w:val="22"/>
            <w:color w:val="0000FF"/>
          </w:rPr>
          <w:t>пунктом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5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статьи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223.4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>Закона о банкротстве считается предоставленным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1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88" w:hanging="221"/>
        <w:spacing w:after="0"/>
        <w:tabs>
          <w:tab w:leader="none" w:pos="788" w:val="left"/>
        </w:tabs>
        <w:numPr>
          <w:ilvl w:val="1"/>
          <w:numId w:val="4"/>
        </w:numPr>
        <w:rPr>
          <w:rFonts w:ascii="Calibri" w:cs="Calibri" w:eastAsia="Calibri" w:hAnsi="Calibri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в течение срока процедуры внесудебного банкротства в соответствии с </w:t>
      </w:r>
      <w:hyperlink r:id="rId13">
        <w:r>
          <w:rPr>
            <w:rFonts w:ascii="Calibri" w:cs="Calibri" w:eastAsia="Calibri" w:hAnsi="Calibri"/>
            <w:sz w:val="21"/>
            <w:szCs w:val="21"/>
            <w:color w:val="0000FF"/>
          </w:rPr>
          <w:t>пунктом</w:t>
        </w:r>
        <w:r>
          <w:rPr>
            <w:rFonts w:ascii="Calibri" w:cs="Calibri" w:eastAsia="Calibri" w:hAnsi="Calibri"/>
            <w:sz w:val="21"/>
            <w:szCs w:val="21"/>
            <w:color w:val="auto"/>
          </w:rPr>
          <w:t xml:space="preserve"> </w:t>
        </w:r>
        <w:r>
          <w:rPr>
            <w:rFonts w:ascii="Calibri" w:cs="Calibri" w:eastAsia="Calibri" w:hAnsi="Calibri"/>
            <w:sz w:val="21"/>
            <w:szCs w:val="21"/>
            <w:color w:val="0000FF"/>
          </w:rPr>
          <w:t>4</w:t>
        </w:r>
        <w:r>
          <w:rPr>
            <w:rFonts w:ascii="Calibri" w:cs="Calibri" w:eastAsia="Calibri" w:hAnsi="Calibri"/>
            <w:sz w:val="21"/>
            <w:szCs w:val="21"/>
            <w:color w:val="auto"/>
          </w:rPr>
          <w:t xml:space="preserve"> </w:t>
        </w:r>
        <w:r>
          <w:rPr>
            <w:rFonts w:ascii="Calibri" w:cs="Calibri" w:eastAsia="Calibri" w:hAnsi="Calibri"/>
            <w:sz w:val="21"/>
            <w:szCs w:val="21"/>
            <w:color w:val="0000FF"/>
          </w:rPr>
          <w:t>статьи</w:t>
        </w:r>
        <w:r>
          <w:rPr>
            <w:rFonts w:ascii="Calibri" w:cs="Calibri" w:eastAsia="Calibri" w:hAnsi="Calibri"/>
            <w:sz w:val="21"/>
            <w:szCs w:val="21"/>
            <w:color w:val="auto"/>
          </w:rPr>
          <w:t xml:space="preserve"> </w:t>
        </w:r>
        <w:r>
          <w:rPr>
            <w:rFonts w:ascii="Calibri" w:cs="Calibri" w:eastAsia="Calibri" w:hAnsi="Calibri"/>
            <w:sz w:val="21"/>
            <w:szCs w:val="21"/>
            <w:color w:val="0000FF"/>
          </w:rPr>
          <w:t>223.4</w:t>
        </w:r>
        <w:r>
          <w:rPr>
            <w:rFonts w:ascii="Calibri" w:cs="Calibri" w:eastAsia="Calibri" w:hAnsi="Calibri"/>
            <w:sz w:val="21"/>
            <w:szCs w:val="21"/>
            <w:color w:val="auto"/>
          </w:rPr>
          <w:t xml:space="preserve"> </w:t>
        </w:r>
      </w:hyperlink>
      <w:r>
        <w:rPr>
          <w:rFonts w:ascii="Calibri" w:cs="Calibri" w:eastAsia="Calibri" w:hAnsi="Calibri"/>
          <w:sz w:val="21"/>
          <w:szCs w:val="21"/>
          <w:color w:val="auto"/>
        </w:rPr>
        <w:t>Закона</w:t>
      </w:r>
    </w:p>
    <w:p>
      <w:pPr>
        <w:spacing w:after="0" w:line="49" w:lineRule="exact"/>
        <w:rPr>
          <w:rFonts w:ascii="Calibri" w:cs="Calibri" w:eastAsia="Calibri" w:hAnsi="Calibri"/>
          <w:sz w:val="21"/>
          <w:szCs w:val="21"/>
          <w:color w:val="auto"/>
        </w:rPr>
      </w:pPr>
    </w:p>
    <w:p>
      <w:pPr>
        <w:ind w:left="8" w:hanging="8"/>
        <w:spacing w:after="0" w:line="218" w:lineRule="auto"/>
        <w:tabs>
          <w:tab w:leader="none" w:pos="185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банкротстве я не вправе совершать сделки по получению займов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кредитов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выдаче поручительств и иные обеспечительные сделки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5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" w:firstLine="559"/>
        <w:spacing w:after="0" w:line="232" w:lineRule="auto"/>
        <w:tabs>
          <w:tab w:leader="none" w:pos="817" w:val="left"/>
        </w:tabs>
        <w:numPr>
          <w:ilvl w:val="1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в соответствии с </w:t>
      </w:r>
      <w:hyperlink r:id="rId14">
        <w:r>
          <w:rPr>
            <w:rFonts w:ascii="Calibri" w:cs="Calibri" w:eastAsia="Calibri" w:hAnsi="Calibri"/>
            <w:sz w:val="22"/>
            <w:szCs w:val="22"/>
            <w:color w:val="0000FF"/>
          </w:rPr>
          <w:t>пунктом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1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статьи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223.5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 xml:space="preserve">Закона о банкротстве в случае поступления в течение срока процедуры внесудебного банкротства в мою собственность имущества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в результате оспаривания сделки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принятия наследства или получения в дар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или иного существенного изменения моего имущественного положения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позволяющего полностью или в значительной части исполнить мои обязательства перед кредиторами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указанными в списке кредиторов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я обязан в течение пяти рабочих дней уведомить об этом многофункциональный центр предоставления государственных и муниципальных услуг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5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" w:firstLine="559"/>
        <w:spacing w:after="0" w:line="231" w:lineRule="auto"/>
        <w:tabs>
          <w:tab w:leader="none" w:pos="886" w:val="left"/>
        </w:tabs>
        <w:numPr>
          <w:ilvl w:val="1"/>
          <w:numId w:val="5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в соответствии с </w:t>
      </w:r>
      <w:hyperlink r:id="rId15">
        <w:r>
          <w:rPr>
            <w:rFonts w:ascii="Calibri" w:cs="Calibri" w:eastAsia="Calibri" w:hAnsi="Calibri"/>
            <w:sz w:val="22"/>
            <w:szCs w:val="22"/>
            <w:color w:val="0000FF"/>
          </w:rPr>
          <w:t>пунктом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3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статьи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223.6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>Закона о банкротстве при завершении процедуры внесудебного банкротства гражданина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применяются последствия признания индивидуального предпринимателя банкротом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предусмотренные </w:t>
      </w:r>
      <w:hyperlink r:id="rId16">
        <w:r>
          <w:rPr>
            <w:rFonts w:ascii="Calibri" w:cs="Calibri" w:eastAsia="Calibri" w:hAnsi="Calibri"/>
            <w:sz w:val="22"/>
            <w:szCs w:val="22"/>
            <w:color w:val="0000FF"/>
          </w:rPr>
          <w:t>статьей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216</w:t>
        </w:r>
        <w:r>
          <w:rPr>
            <w:rFonts w:ascii="Calibri" w:cs="Calibri" w:eastAsia="Calibri" w:hAnsi="Calibri"/>
            <w:sz w:val="22"/>
            <w:szCs w:val="22"/>
            <w:color w:val="auto"/>
          </w:rPr>
          <w:t xml:space="preserve"> 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>Закона о банкротстве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1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56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Перечень документов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прилагаемых к заявлению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являющихся его неотъемлемыми частями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25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908" w:right="600"/>
        <w:spacing w:after="0" w:line="218" w:lineRule="auto"/>
        <w:rPr>
          <w:rFonts w:ascii="Calibri" w:cs="Calibri" w:eastAsia="Calibri" w:hAnsi="Calibri"/>
          <w:sz w:val="22"/>
          <w:szCs w:val="22"/>
          <w:color w:val="0000FF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список всех известных кредиторов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оформленный по утвержденной в соответствии с </w:t>
      </w:r>
      <w:hyperlink r:id="rId17">
        <w:r>
          <w:rPr>
            <w:rFonts w:ascii="Calibri" w:cs="Calibri" w:eastAsia="Calibri" w:hAnsi="Calibri"/>
            <w:sz w:val="22"/>
            <w:szCs w:val="22"/>
            <w:color w:val="0000FF"/>
          </w:rPr>
          <w:t>абзацем</w:t>
        </w:r>
      </w:hyperlink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hyperlink r:id="rId17">
        <w:r>
          <w:rPr>
            <w:rFonts w:ascii="Calibri" w:cs="Calibri" w:eastAsia="Calibri" w:hAnsi="Calibri"/>
            <w:sz w:val="22"/>
            <w:szCs w:val="22"/>
            <w:color w:val="0000FF"/>
          </w:rPr>
          <w:t xml:space="preserve">четвертым пункта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3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 xml:space="preserve"> статьи 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>213.4</w:t>
        </w:r>
        <w:r>
          <w:rPr>
            <w:rFonts w:ascii="Calibri" w:cs="Calibri" w:eastAsia="Calibri" w:hAnsi="Calibri"/>
            <w:sz w:val="22"/>
            <w:szCs w:val="22"/>
            <w:color w:val="0000FF"/>
          </w:rPr>
          <w:t xml:space="preserve"> </w:t>
        </w:r>
      </w:hyperlink>
      <w:r>
        <w:rPr>
          <w:rFonts w:ascii="Calibri" w:cs="Calibri" w:eastAsia="Calibri" w:hAnsi="Calibri"/>
          <w:sz w:val="22"/>
          <w:szCs w:val="22"/>
          <w:color w:val="000000"/>
        </w:rPr>
        <w:t>Закона</w:t>
      </w:r>
      <w:r>
        <w:rPr>
          <w:rFonts w:ascii="Calibri" w:cs="Calibri" w:eastAsia="Calibri" w:hAnsi="Calibri"/>
          <w:sz w:val="22"/>
          <w:szCs w:val="22"/>
          <w:color w:val="0000FF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000000"/>
        </w:rPr>
        <w:t>о банкротстве форме</w:t>
      </w:r>
      <w:r>
        <w:rPr>
          <w:rFonts w:ascii="Calibri" w:cs="Calibri" w:eastAsia="Calibri" w:hAnsi="Calibri"/>
          <w:sz w:val="22"/>
          <w:szCs w:val="22"/>
          <w:color w:val="000000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-306705</wp:posOffset>
            </wp:positionV>
            <wp:extent cx="140335" cy="20256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90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копия документа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удостоверяющего личность гражданина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-135890</wp:posOffset>
            </wp:positionV>
            <wp:extent cx="140335" cy="20256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90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копия документа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подтверждающего место жительства или пребывания гражданина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-135890</wp:posOffset>
            </wp:positionV>
            <wp:extent cx="140335" cy="20256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908" w:right="84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копия документа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подтверждающего полномочия представителя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если заявление подается представителем</w:t>
      </w:r>
      <w:r>
        <w:rPr>
          <w:rFonts w:ascii="Calibri" w:cs="Calibri" w:eastAsia="Calibri" w:hAnsi="Calibri"/>
          <w:sz w:val="22"/>
          <w:szCs w:val="22"/>
          <w:color w:val="auto"/>
        </w:rPr>
        <w:t>);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-306705</wp:posOffset>
            </wp:positionV>
            <wp:extent cx="140335" cy="20256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908" w:right="124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копия документа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удостоверяющего личность представителя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если заявление подается представителем</w:t>
      </w:r>
      <w:r>
        <w:rPr>
          <w:rFonts w:ascii="Calibri" w:cs="Calibri" w:eastAsia="Calibri" w:hAnsi="Calibri"/>
          <w:sz w:val="22"/>
          <w:szCs w:val="22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-305435</wp:posOffset>
            </wp:positionV>
            <wp:extent cx="140335" cy="20256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66040</wp:posOffset>
                </wp:positionV>
                <wp:extent cx="6668135" cy="127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-3.3499pt;margin-top:5.2pt;width:525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368"/>
          </w:cols>
          <w:pgMar w:left="912" w:top="1230" w:right="626" w:bottom="1132" w:gutter="0" w:footer="0" w:header="0"/>
        </w:sectPr>
      </w:pPr>
    </w:p>
    <w:bookmarkStart w:id="4" w:name="page5"/>
    <w:bookmarkEnd w:id="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Дата и подпись гражданина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представителя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)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с указанием фамилии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заполняется от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имени и отчества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руки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9"/>
        </w:trPr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 наличии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7"/>
        </w:trPr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14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2017395</wp:posOffset>
                </wp:positionV>
                <wp:extent cx="666877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pt,158.85pt" to="567.3pt,158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338074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80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45pt,56.6pt" to="42.45pt,322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338074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80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322.8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80" w:right="820" w:firstLine="567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Сведения о принятии заявления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заполняется многофункциональным центром предоставления государственных и муниципальных услуг</w:t>
      </w:r>
      <w:r>
        <w:rPr>
          <w:rFonts w:ascii="Calibri" w:cs="Calibri" w:eastAsia="Calibri" w:hAnsi="Calibri"/>
          <w:sz w:val="22"/>
          <w:szCs w:val="22"/>
          <w:color w:val="auto"/>
        </w:rPr>
        <w:t>)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80" w:right="6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Сведения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содержащиеся в документе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удостоверяющем личность заявителя </w:t>
      </w:r>
      <w:r>
        <w:rPr>
          <w:rFonts w:ascii="Calibri" w:cs="Calibri" w:eastAsia="Calibri" w:hAnsi="Calibri"/>
          <w:sz w:val="22"/>
          <w:szCs w:val="22"/>
          <w:color w:val="auto"/>
        </w:rPr>
        <w:t>(</w:t>
      </w:r>
      <w:r>
        <w:rPr>
          <w:rFonts w:ascii="Calibri" w:cs="Calibri" w:eastAsia="Calibri" w:hAnsi="Calibri"/>
          <w:sz w:val="22"/>
          <w:szCs w:val="22"/>
          <w:color w:val="auto"/>
        </w:rPr>
        <w:t>представителя заявителя</w:t>
      </w:r>
      <w:r>
        <w:rPr>
          <w:rFonts w:ascii="Calibri" w:cs="Calibri" w:eastAsia="Calibri" w:hAnsi="Calibri"/>
          <w:sz w:val="22"/>
          <w:szCs w:val="22"/>
          <w:color w:val="auto"/>
        </w:rPr>
        <w:t>),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проверены</w:t>
      </w:r>
    </w:p>
    <w:p>
      <w:pPr>
        <w:spacing w:after="0" w:line="8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4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дата принятия заявления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инициалы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фамилия специалиста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заполняется от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принявшего заявление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,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его подпись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руки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Печать многофункционального центра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обязательно</w:t>
            </w: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предоставления государственных 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муниципальных услуг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500"/>
      </w:cols>
      <w:pgMar w:left="840" w:top="1112" w:right="5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625558EC"/>
    <w:multiLevelType w:val="hybridMultilevel"/>
    <w:lvl w:ilvl="0">
      <w:lvlJc w:val="left"/>
      <w:lvlText w:val="%1)"/>
      <w:numFmt w:val="decimal"/>
      <w:start w:val="2"/>
    </w:lvl>
  </w:abstractNum>
  <w:abstractNum w:abstractNumId="3">
    <w:nsid w:val="238E1F29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4">
    <w:nsid w:val="46E87CCD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)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8" Type="http://schemas.openxmlformats.org/officeDocument/2006/relationships/hyperlink" Target="consultantplus://offline/ref=CA6654415D8269CB25CAE8B29DCC7FA4755E068861FA59DC372C0A93A325CE8D047FA781AF804E1FD7B085B68BC9744964B25F88A85DrEEEP" TargetMode="External"/><Relationship Id="rId11" Type="http://schemas.openxmlformats.org/officeDocument/2006/relationships/hyperlink" Target="consultantplus://offline/ref=CA6654415D8269CB25CAE8B29DCC7FA4755E068868FA59DC372C0A93A325CE8D047FA787AA834A108AEA95B2C29D71566CA44182B65DEE5Ar4E8P" TargetMode="External"/><Relationship Id="rId12" Type="http://schemas.openxmlformats.org/officeDocument/2006/relationships/hyperlink" Target="consultantplus://offline/ref=CA6654415D8269CB25CAE8B29DCC7FA4755E068861FA59DC372C0A93A325CE8D047FA781AF854F1FD7B085B68BC9744964B25F88A85DrEEEP" TargetMode="External"/><Relationship Id="rId13" Type="http://schemas.openxmlformats.org/officeDocument/2006/relationships/hyperlink" Target="consultantplus://offline/ref=CA6654415D8269CB25CAE8B29DCC7FA4755E068861FA59DC372C0A93A325CE8D047FA781AF854C1FD7B085B68BC9744964B25F88A85DrEEEP" TargetMode="External"/><Relationship Id="rId14" Type="http://schemas.openxmlformats.org/officeDocument/2006/relationships/hyperlink" Target="consultantplus://offline/ref=CA6654415D8269CB25CAE8B29DCC7FA4755E068861FA59DC372C0A93A325CE8D047FA781AF85411FD7B085B68BC9744964B25F88A85DrEEEP" TargetMode="External"/><Relationship Id="rId15" Type="http://schemas.openxmlformats.org/officeDocument/2006/relationships/hyperlink" Target="consultantplus://offline/ref=CA6654415D8269CB25CAE8B29DCC7FA4755E068861FA59DC372C0A93A325CE8D047FA781AF8B4F1FD7B085B68BC9744964B25F88A85DrEEEP" TargetMode="External"/><Relationship Id="rId16" Type="http://schemas.openxmlformats.org/officeDocument/2006/relationships/hyperlink" Target="consultantplus://offline/ref=CA6654415D8269CB25CAE8B29DCC7FA4755E068861FA59DC372C0A93A325CE8D047FA783A2864A1FD7B085B68BC9744964B25F88A85DrEEEP" TargetMode="External"/><Relationship Id="rId17" Type="http://schemas.openxmlformats.org/officeDocument/2006/relationships/hyperlink" Target="consultantplus://offline/ref=CA6654415D8269CB25CAE8B29DCC7FA4755E068861FA59DC372C0A93A325CE8D047FA783A98A491FD7B085B68BC9744964B25F88A85DrEEEP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2021-02-15T14:07:09Z</dcterms:created>
  <dcterms:modified xsi:type="dcterms:W3CDTF">2021-02-15T14:07:09Z</dcterms:modified>
</cp:coreProperties>
</file>